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93"/>
        <w:gridCol w:w="4592"/>
      </w:tblGrid>
      <w:tr w:rsidR="00633188" w:rsidTr="0063318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04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188" w:rsidRDefault="00EA19DC">
            <w:pPr>
              <w:pStyle w:val="m-BlocTitre"/>
            </w:pPr>
            <w:r>
              <w:t>PR</w:t>
            </w:r>
            <w:r>
              <w:rPr>
                <w:caps/>
              </w:rPr>
              <w:t>é</w:t>
            </w:r>
            <w:r>
              <w:t>FET DE LA RÉGION AQUITAINE</w:t>
            </w:r>
          </w:p>
          <w:p w:rsidR="00633188" w:rsidRDefault="00633188">
            <w:pPr>
              <w:pStyle w:val="m-BlocTitre"/>
            </w:pPr>
          </w:p>
        </w:tc>
      </w:tr>
      <w:tr w:rsidR="00633188" w:rsidTr="00633188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5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188" w:rsidRDefault="00EA19DC">
            <w:pPr>
              <w:pStyle w:val="m-BlocEntete"/>
              <w:snapToGrid w:val="0"/>
            </w:pPr>
            <w:r>
              <w:t>Direction interrégionale de la mer</w:t>
            </w:r>
          </w:p>
          <w:p w:rsidR="00633188" w:rsidRDefault="00EA19DC">
            <w:pPr>
              <w:pStyle w:val="m-BlocEntete"/>
              <w:snapToGrid w:val="0"/>
            </w:pPr>
            <w:r>
              <w:t>SUD-ATLANTIQUE</w:t>
            </w:r>
            <w:r>
              <w:br/>
            </w:r>
          </w:p>
          <w:p w:rsidR="00633188" w:rsidRDefault="00633188">
            <w:pPr>
              <w:pStyle w:val="m-BlocEntete"/>
            </w:pPr>
          </w:p>
        </w:tc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188" w:rsidRDefault="00EA19DC">
            <w:pPr>
              <w:pStyle w:val="m-BlocDate"/>
              <w:snapToGrid w:val="0"/>
              <w:ind w:right="339"/>
            </w:pPr>
            <w:r>
              <w:t>Bordeaux, le</w:t>
            </w:r>
          </w:p>
        </w:tc>
      </w:tr>
      <w:tr w:rsidR="00633188" w:rsidTr="00633188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5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188" w:rsidRDefault="00EA19DC">
            <w:pPr>
              <w:pStyle w:val="m-BlocEntete"/>
              <w:snapToGrid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9280" cy="35640"/>
                  <wp:effectExtent l="0" t="0" r="0" b="0"/>
                  <wp:wrapNone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80" cy="3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188" w:rsidRDefault="00EA19DC">
            <w:pPr>
              <w:pStyle w:val="Standard"/>
              <w:snapToGrid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9280" cy="35640"/>
                  <wp:effectExtent l="0" t="0" r="0" b="0"/>
                  <wp:wrapNone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80" cy="3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3188" w:rsidTr="00633188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188" w:rsidRDefault="00633188">
            <w:pPr>
              <w:pStyle w:val="m-BlocEmetteur"/>
            </w:pPr>
          </w:p>
          <w:p w:rsidR="00633188" w:rsidRDefault="00EA19DC">
            <w:pPr>
              <w:pStyle w:val="m-BlocEmetteur"/>
            </w:pPr>
            <w:r>
              <w:t>Division de l'action économique</w:t>
            </w:r>
          </w:p>
          <w:p w:rsidR="00633188" w:rsidRDefault="00EA19DC">
            <w:pPr>
              <w:pStyle w:val="m-BlocEmetteur"/>
            </w:pPr>
            <w:r>
              <w:t>et de l'emploi maritime</w:t>
            </w:r>
          </w:p>
          <w:p w:rsidR="00633188" w:rsidRDefault="00633188">
            <w:pPr>
              <w:pStyle w:val="m-BlocEmetteur"/>
            </w:pPr>
          </w:p>
          <w:p w:rsidR="00633188" w:rsidRDefault="00EA19DC">
            <w:pPr>
              <w:pStyle w:val="m-BlocEmetteur"/>
            </w:pPr>
            <w:r>
              <w:t xml:space="preserve">Bureau ressources </w:t>
            </w:r>
            <w:r>
              <w:t>durables</w:t>
            </w:r>
          </w:p>
          <w:p w:rsidR="00633188" w:rsidRDefault="00EA19DC">
            <w:pPr>
              <w:pStyle w:val="m-BlocEmetteur"/>
            </w:pPr>
            <w:r>
              <w:t>et action économique</w:t>
            </w:r>
          </w:p>
          <w:p w:rsidR="00633188" w:rsidRDefault="00633188">
            <w:pPr>
              <w:pStyle w:val="m-BlocEmetteur"/>
            </w:pPr>
          </w:p>
          <w:p w:rsidR="00633188" w:rsidRDefault="00633188">
            <w:pPr>
              <w:pStyle w:val="m-BlocEmetteur2"/>
            </w:pPr>
          </w:p>
          <w:p w:rsidR="00633188" w:rsidRDefault="00633188">
            <w:pPr>
              <w:pStyle w:val="m-BlocEmetteur"/>
            </w:pPr>
          </w:p>
          <w:p w:rsidR="00633188" w:rsidRDefault="00633188">
            <w:pPr>
              <w:pStyle w:val="m-BlocEmetteur2"/>
            </w:pPr>
          </w:p>
          <w:p w:rsidR="00633188" w:rsidRDefault="00633188">
            <w:pPr>
              <w:pStyle w:val="m-BlocEmetteur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188" w:rsidRDefault="00633188">
            <w:pPr>
              <w:pStyle w:val="m-BlocDestinataire"/>
              <w:snapToGrid w:val="0"/>
              <w:rPr>
                <w:bCs/>
              </w:rPr>
            </w:pPr>
          </w:p>
        </w:tc>
      </w:tr>
    </w:tbl>
    <w:p w:rsidR="00633188" w:rsidRDefault="00633188">
      <w:pPr>
        <w:pStyle w:val="m-corpstexte"/>
      </w:pPr>
    </w:p>
    <w:p w:rsidR="00633188" w:rsidRDefault="00EA19DC">
      <w:pPr>
        <w:pStyle w:val="Standard"/>
        <w:autoSpaceDE w:val="0"/>
        <w:rPr>
          <w:rFonts w:ascii="LiberationSans" w:eastAsia="LiberationSans" w:hAnsi="LiberationSans" w:cs="LiberationSans"/>
          <w:b/>
          <w:bCs/>
          <w:szCs w:val="20"/>
          <w:u w:val="single"/>
        </w:rPr>
      </w:pPr>
      <w:r>
        <w:rPr>
          <w:rFonts w:ascii="LiberationSans" w:eastAsia="LiberationSans" w:hAnsi="LiberationSans" w:cs="LiberationSans"/>
          <w:b/>
          <w:bCs/>
          <w:szCs w:val="20"/>
          <w:u w:val="single"/>
        </w:rPr>
        <w:t>Synthèse des observations du public relatives au projet d’arrêté du préfet de la région Poitou-Charentes p</w:t>
      </w:r>
      <w:r>
        <w:rPr>
          <w:rFonts w:ascii="LiberationSans" w:eastAsia="LiberationSans" w:hAnsi="LiberationSans" w:cs="LiberationSans"/>
          <w:b/>
          <w:bCs/>
          <w:szCs w:val="20"/>
          <w:u w:val="single"/>
        </w:rPr>
        <w:t xml:space="preserve">ortant ouverture de la pêche au chalut pélagique sur le plateau de </w:t>
      </w:r>
      <w:proofErr w:type="spellStart"/>
      <w:r>
        <w:rPr>
          <w:rFonts w:ascii="LiberationSans" w:eastAsia="LiberationSans" w:hAnsi="LiberationSans" w:cs="LiberationSans"/>
          <w:b/>
          <w:bCs/>
          <w:szCs w:val="20"/>
          <w:u w:val="single"/>
        </w:rPr>
        <w:t>Rochebonne</w:t>
      </w:r>
      <w:proofErr w:type="spellEnd"/>
      <w:r>
        <w:rPr>
          <w:rFonts w:ascii="LiberationSans" w:eastAsia="LiberationSans" w:hAnsi="LiberationSans" w:cs="LiberationSans"/>
          <w:b/>
          <w:bCs/>
          <w:szCs w:val="20"/>
          <w:u w:val="single"/>
        </w:rPr>
        <w:t xml:space="preserve"> entre le 1</w:t>
      </w:r>
      <w:r>
        <w:rPr>
          <w:rFonts w:ascii="LiberationSans" w:eastAsia="LiberationSans" w:hAnsi="LiberationSans" w:cs="LiberationSans"/>
          <w:b/>
          <w:bCs/>
          <w:szCs w:val="20"/>
          <w:u w:val="single"/>
          <w:vertAlign w:val="superscript"/>
        </w:rPr>
        <w:t>er</w:t>
      </w:r>
      <w:r>
        <w:rPr>
          <w:rFonts w:ascii="LiberationSans" w:eastAsia="LiberationSans" w:hAnsi="LiberationSans" w:cs="LiberationSans"/>
          <w:b/>
          <w:bCs/>
          <w:szCs w:val="20"/>
          <w:u w:val="single"/>
        </w:rPr>
        <w:t xml:space="preserve"> décembre 2013 et le 31 janvier 2014</w:t>
      </w:r>
    </w:p>
    <w:p w:rsidR="00633188" w:rsidRDefault="00633188">
      <w:pPr>
        <w:pStyle w:val="Standard"/>
        <w:autoSpaceDE w:val="0"/>
        <w:rPr>
          <w:rFonts w:ascii="LiberationSans" w:eastAsia="LiberationSans" w:hAnsi="LiberationSans" w:cs="LiberationSans"/>
          <w:b/>
          <w:bCs/>
          <w:i/>
          <w:iCs/>
          <w:szCs w:val="20"/>
        </w:rPr>
      </w:pPr>
    </w:p>
    <w:p w:rsidR="00633188" w:rsidRDefault="00EA19DC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  <w:r>
        <w:rPr>
          <w:rFonts w:ascii="LiberationSans" w:eastAsia="LiberationSans" w:hAnsi="LiberationSans" w:cs="LiberationSans"/>
          <w:szCs w:val="20"/>
        </w:rPr>
        <w:t>En application des articles L. 914-3 du code rural et de la pêche maritime et L. 120-1 et L. 120-2</w:t>
      </w:r>
    </w:p>
    <w:p w:rsidR="00633188" w:rsidRDefault="00EA19DC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  <w:proofErr w:type="gramStart"/>
      <w:r>
        <w:rPr>
          <w:rFonts w:ascii="LiberationSans" w:eastAsia="LiberationSans" w:hAnsi="LiberationSans" w:cs="LiberationSans"/>
          <w:szCs w:val="20"/>
        </w:rPr>
        <w:t>du</w:t>
      </w:r>
      <w:proofErr w:type="gramEnd"/>
      <w:r>
        <w:rPr>
          <w:rFonts w:ascii="LiberationSans" w:eastAsia="LiberationSans" w:hAnsi="LiberationSans" w:cs="LiberationSans"/>
          <w:szCs w:val="20"/>
        </w:rPr>
        <w:t xml:space="preserve"> code de l'environnement, ce projet d’arrêté a été soumis à la participation du public jusqu’au 14 novembre 2013 sur </w:t>
      </w:r>
      <w:r>
        <w:rPr>
          <w:rFonts w:ascii="LiberationSans" w:eastAsia="LiberationSans" w:hAnsi="LiberationSans" w:cs="LiberationSans"/>
          <w:szCs w:val="20"/>
        </w:rPr>
        <w:t>le site internet de la DIRM SA. Un lien vers une adresse de messagerie électronique permettait au public d’émettre ses observations.</w:t>
      </w:r>
    </w:p>
    <w:p w:rsidR="00633188" w:rsidRDefault="00633188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</w:p>
    <w:p w:rsidR="00633188" w:rsidRDefault="00EA19DC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  <w:r>
        <w:rPr>
          <w:rFonts w:ascii="LiberationSans" w:eastAsia="LiberationSans" w:hAnsi="LiberationSans" w:cs="LiberationSans"/>
          <w:szCs w:val="20"/>
        </w:rPr>
        <w:t xml:space="preserve">Cinq observations défavorables ont été émises, dont une émanant d’une </w:t>
      </w:r>
      <w:proofErr w:type="gramStart"/>
      <w:r>
        <w:rPr>
          <w:rFonts w:ascii="LiberationSans" w:eastAsia="LiberationSans" w:hAnsi="LiberationSans" w:cs="LiberationSans"/>
          <w:szCs w:val="20"/>
        </w:rPr>
        <w:t>association .</w:t>
      </w:r>
      <w:proofErr w:type="gramEnd"/>
    </w:p>
    <w:p w:rsidR="00633188" w:rsidRDefault="00633188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</w:p>
    <w:p w:rsidR="00633188" w:rsidRDefault="00EA19DC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  <w:r>
        <w:rPr>
          <w:rFonts w:ascii="LiberationSans" w:eastAsia="LiberationSans" w:hAnsi="LiberationSans" w:cs="LiberationSans"/>
          <w:szCs w:val="20"/>
        </w:rPr>
        <w:t>Elles réclament toutes une préservati</w:t>
      </w:r>
      <w:r>
        <w:rPr>
          <w:rFonts w:ascii="LiberationSans" w:eastAsia="LiberationSans" w:hAnsi="LiberationSans" w:cs="LiberationSans"/>
          <w:szCs w:val="20"/>
        </w:rPr>
        <w:t>on de la pêcherie du bar au motif que le projet de réglementation serait de nature à compromettre la reproduction de cette espèce dans une zone sensible. Un observant ajoute que des juvéniles pouvant aussi faire partie des rejets, il prône en outre une int</w:t>
      </w:r>
      <w:r>
        <w:rPr>
          <w:rFonts w:ascii="LiberationSans" w:eastAsia="LiberationSans" w:hAnsi="LiberationSans" w:cs="LiberationSans"/>
          <w:szCs w:val="20"/>
        </w:rPr>
        <w:t xml:space="preserve">erdiction totale de la pêche sur le plateau de </w:t>
      </w:r>
      <w:proofErr w:type="spellStart"/>
      <w:r>
        <w:rPr>
          <w:rFonts w:ascii="LiberationSans" w:eastAsia="LiberationSans" w:hAnsi="LiberationSans" w:cs="LiberationSans"/>
          <w:szCs w:val="20"/>
        </w:rPr>
        <w:t>Rochebonne</w:t>
      </w:r>
      <w:proofErr w:type="spellEnd"/>
      <w:r>
        <w:rPr>
          <w:rFonts w:ascii="LiberationSans" w:eastAsia="LiberationSans" w:hAnsi="LiberationSans" w:cs="LiberationSans"/>
          <w:szCs w:val="20"/>
        </w:rPr>
        <w:t xml:space="preserve">. Un autre contributeur souligne que les marins pêcheurs ne sont pas les seuls à titrer un revenu de la mer. Il cite à l’appui de son affirmation une étude de l’IFREMER qui évalue l’importance de la </w:t>
      </w:r>
      <w:r>
        <w:rPr>
          <w:rFonts w:ascii="LiberationSans" w:eastAsia="LiberationSans" w:hAnsi="LiberationSans" w:cs="LiberationSans"/>
          <w:szCs w:val="20"/>
        </w:rPr>
        <w:t>pêche maritime de loisir française.</w:t>
      </w:r>
    </w:p>
    <w:p w:rsidR="00633188" w:rsidRDefault="00633188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</w:p>
    <w:p w:rsidR="00633188" w:rsidRDefault="00EA19DC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  <w:r>
        <w:rPr>
          <w:rFonts w:ascii="LiberationSans" w:eastAsia="LiberationSans" w:hAnsi="LiberationSans" w:cs="LiberationSans"/>
          <w:szCs w:val="20"/>
        </w:rPr>
        <w:t xml:space="preserve">L’association déplore que la protection de la ressource et les incidences sur les habitats ne soient pas encore suffisamment pris en compte malgré l’inscription du site de </w:t>
      </w:r>
      <w:proofErr w:type="spellStart"/>
      <w:r>
        <w:rPr>
          <w:rFonts w:ascii="LiberationSans" w:eastAsia="LiberationSans" w:hAnsi="LiberationSans" w:cs="LiberationSans"/>
          <w:szCs w:val="20"/>
        </w:rPr>
        <w:t>Rochebonne</w:t>
      </w:r>
      <w:proofErr w:type="spellEnd"/>
      <w:r>
        <w:rPr>
          <w:rFonts w:ascii="LiberationSans" w:eastAsia="LiberationSans" w:hAnsi="LiberationSans" w:cs="LiberationSans"/>
          <w:szCs w:val="20"/>
        </w:rPr>
        <w:t xml:space="preserve"> dans le réseau </w:t>
      </w:r>
      <w:proofErr w:type="spellStart"/>
      <w:r>
        <w:rPr>
          <w:rFonts w:ascii="LiberationSans" w:eastAsia="LiberationSans" w:hAnsi="LiberationSans" w:cs="LiberationSans"/>
          <w:szCs w:val="20"/>
        </w:rPr>
        <w:t>Natura</w:t>
      </w:r>
      <w:proofErr w:type="spellEnd"/>
      <w:r>
        <w:rPr>
          <w:rFonts w:ascii="LiberationSans" w:eastAsia="LiberationSans" w:hAnsi="LiberationSans" w:cs="LiberationSans"/>
          <w:szCs w:val="20"/>
        </w:rPr>
        <w:t xml:space="preserve"> 2000 au titre </w:t>
      </w:r>
      <w:r>
        <w:rPr>
          <w:rFonts w:ascii="LiberationSans" w:eastAsia="LiberationSans" w:hAnsi="LiberationSans" w:cs="LiberationSans"/>
          <w:szCs w:val="20"/>
        </w:rPr>
        <w:t>de la directive « oiseaux » et de la directive « habitats » et l’entrée en vigueur du document d’objectifs (DOCOB). Elle souligne que la directive « habitats » prévoit un certain nombre d’actions en vue de l’amélioration des connaissances des espèces et de</w:t>
      </w:r>
      <w:r>
        <w:rPr>
          <w:rFonts w:ascii="LiberationSans" w:eastAsia="LiberationSans" w:hAnsi="LiberationSans" w:cs="LiberationSans"/>
          <w:szCs w:val="20"/>
        </w:rPr>
        <w:t xml:space="preserve"> la science participative.</w:t>
      </w:r>
    </w:p>
    <w:p w:rsidR="00633188" w:rsidRDefault="00633188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</w:p>
    <w:p w:rsidR="00633188" w:rsidRDefault="00EA19DC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  <w:r>
        <w:rPr>
          <w:rFonts w:ascii="LiberationSans" w:eastAsia="LiberationSans" w:hAnsi="LiberationSans" w:cs="LiberationSans"/>
          <w:szCs w:val="20"/>
        </w:rPr>
        <w:t xml:space="preserve">Cette association réclame une étude susceptible d’évaluer la dépendance du grand dauphin et </w:t>
      </w:r>
      <w:proofErr w:type="gramStart"/>
      <w:r>
        <w:rPr>
          <w:rFonts w:ascii="LiberationSans" w:eastAsia="LiberationSans" w:hAnsi="LiberationSans" w:cs="LiberationSans"/>
          <w:szCs w:val="20"/>
        </w:rPr>
        <w:t>s’interroge</w:t>
      </w:r>
      <w:proofErr w:type="gramEnd"/>
      <w:r>
        <w:rPr>
          <w:rFonts w:ascii="LiberationSans" w:eastAsia="LiberationSans" w:hAnsi="LiberationSans" w:cs="LiberationSans"/>
          <w:szCs w:val="20"/>
        </w:rPr>
        <w:t xml:space="preserve"> sur l’impact de la pêche sur la ressource alimentaire de cet animal. Elle demande enfin la création d’une base de </w:t>
      </w:r>
      <w:proofErr w:type="gramStart"/>
      <w:r>
        <w:rPr>
          <w:rFonts w:ascii="LiberationSans" w:eastAsia="LiberationSans" w:hAnsi="LiberationSans" w:cs="LiberationSans"/>
          <w:szCs w:val="20"/>
        </w:rPr>
        <w:t>donnée</w:t>
      </w:r>
      <w:proofErr w:type="gramEnd"/>
      <w:r>
        <w:rPr>
          <w:rFonts w:ascii="LiberationSans" w:eastAsia="LiberationSans" w:hAnsi="LiberationSans" w:cs="LiberationSans"/>
          <w:szCs w:val="20"/>
        </w:rPr>
        <w:t xml:space="preserve"> sur</w:t>
      </w:r>
      <w:r>
        <w:rPr>
          <w:rFonts w:ascii="LiberationSans" w:eastAsia="LiberationSans" w:hAnsi="LiberationSans" w:cs="LiberationSans"/>
          <w:szCs w:val="20"/>
        </w:rPr>
        <w:t xml:space="preserve"> la capture accidentelle d’oiseaux.</w:t>
      </w:r>
    </w:p>
    <w:p w:rsidR="00633188" w:rsidRDefault="00633188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</w:p>
    <w:p w:rsidR="00633188" w:rsidRDefault="00633188">
      <w:pPr>
        <w:pStyle w:val="Standard"/>
        <w:autoSpaceDE w:val="0"/>
        <w:jc w:val="left"/>
        <w:rPr>
          <w:rFonts w:ascii="LiberationSans" w:eastAsia="LiberationSans" w:hAnsi="LiberationSans" w:cs="LiberationSans"/>
          <w:szCs w:val="20"/>
        </w:rPr>
      </w:pPr>
    </w:p>
    <w:p w:rsidR="00633188" w:rsidRDefault="00EA19DC">
      <w:pPr>
        <w:pStyle w:val="Standard"/>
        <w:autoSpaceDE w:val="0"/>
        <w:rPr>
          <w:rFonts w:ascii="LiberationSans" w:eastAsia="LiberationSans" w:hAnsi="LiberationSans" w:cs="LiberationSans"/>
          <w:szCs w:val="20"/>
        </w:rPr>
      </w:pPr>
      <w:r>
        <w:rPr>
          <w:rFonts w:ascii="LiberationSans" w:eastAsia="LiberationSans" w:hAnsi="LiberationSans" w:cs="LiberationSans"/>
          <w:szCs w:val="20"/>
        </w:rPr>
        <w:t>Le projet d’arrêté prend en compte (</w:t>
      </w:r>
      <w:proofErr w:type="spellStart"/>
      <w:r>
        <w:rPr>
          <w:rFonts w:ascii="LiberationSans" w:eastAsia="LiberationSans" w:hAnsi="LiberationSans" w:cs="LiberationSans"/>
          <w:szCs w:val="20"/>
        </w:rPr>
        <w:t>cf</w:t>
      </w:r>
      <w:proofErr w:type="spellEnd"/>
      <w:r>
        <w:rPr>
          <w:rFonts w:ascii="LiberationSans" w:eastAsia="LiberationSans" w:hAnsi="LiberationSans" w:cs="LiberationSans"/>
          <w:szCs w:val="20"/>
        </w:rPr>
        <w:t xml:space="preserve"> motif de la décision) certains avis émis lors de la consultation du public.</w:t>
      </w:r>
    </w:p>
    <w:p w:rsidR="00633188" w:rsidRDefault="00633188">
      <w:pPr>
        <w:pStyle w:val="Standard"/>
        <w:autoSpaceDE w:val="0"/>
        <w:jc w:val="left"/>
        <w:rPr>
          <w:rFonts w:ascii="LiberationSans" w:eastAsia="LiberationSans" w:hAnsi="LiberationSans" w:cs="LiberationSans"/>
          <w:szCs w:val="20"/>
        </w:rPr>
      </w:pPr>
    </w:p>
    <w:p w:rsidR="00633188" w:rsidRDefault="00633188">
      <w:pPr>
        <w:pStyle w:val="Standard"/>
        <w:autoSpaceDE w:val="0"/>
        <w:jc w:val="left"/>
        <w:rPr>
          <w:rFonts w:ascii="LiberationSans" w:eastAsia="LiberationSans" w:hAnsi="LiberationSans" w:cs="LiberationSans"/>
          <w:szCs w:val="20"/>
        </w:rPr>
      </w:pPr>
    </w:p>
    <w:p w:rsidR="00633188" w:rsidRDefault="00633188">
      <w:pPr>
        <w:pStyle w:val="Standard"/>
        <w:autoSpaceDE w:val="0"/>
        <w:jc w:val="left"/>
      </w:pPr>
    </w:p>
    <w:p w:rsidR="00633188" w:rsidRDefault="00633188">
      <w:pPr>
        <w:pStyle w:val="m-Destinataire"/>
      </w:pPr>
    </w:p>
    <w:sectPr w:rsidR="00633188" w:rsidSect="006331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2552" w:left="226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DC" w:rsidRDefault="00EA19DC" w:rsidP="00633188">
      <w:r>
        <w:separator/>
      </w:r>
    </w:p>
  </w:endnote>
  <w:endnote w:type="continuationSeparator" w:id="0">
    <w:p w:rsidR="00EA19DC" w:rsidRDefault="00EA19DC" w:rsidP="0063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8" w:rsidRDefault="0063318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dre3" o:spid="_x0000_s1025" type="#_x0000_t202" style="position:absolute;left:0;text-align:left;margin-left:-68.05pt;margin-top:-42.25pt;width:186.4pt;height:9.25pt;z-index:-251656192;visibility:visible" stroked="f">
          <v:textbox style="mso-rotate-with-shape:t" inset="0,0,0,0">
            <w:txbxContent>
              <w:p w:rsidR="00633188" w:rsidRDefault="00633188">
                <w:pPr>
                  <w:pStyle w:val="m-siteweb"/>
                </w:pPr>
                <w:r>
                  <w:t>www.xxx.developpement-durable.gouv.fr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8" w:rsidRDefault="00633188">
    <w:pPr>
      <w:pStyle w:val="Standar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DC" w:rsidRDefault="00EA19DC" w:rsidP="00633188">
      <w:r w:rsidRPr="00633188">
        <w:rPr>
          <w:color w:val="000000"/>
        </w:rPr>
        <w:separator/>
      </w:r>
    </w:p>
  </w:footnote>
  <w:footnote w:type="continuationSeparator" w:id="0">
    <w:p w:rsidR="00EA19DC" w:rsidRDefault="00EA19DC" w:rsidP="0063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8" w:rsidRDefault="00633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8" w:rsidRDefault="00633188">
    <w:pPr>
      <w:pStyle w:val="Header"/>
    </w:pPr>
    <w:r>
      <w:pict>
        <v:line id="_x0000_s1026" style="position:absolute;left:0;text-align:left;z-index:-251654144;visibility:visible;mso-position-horizontal-relative:page;mso-position-vertical-relative:page" from="14.25pt,280.65pt" to="28.4pt,280.65pt" strokeweight=".26mm">
          <v:stroke joinstyle="miter"/>
          <v:textbox style="mso-rotate-with-shape:t" inset="4.41mm,2.29mm,4.41mm,2.29mm">
            <w:txbxContent>
              <w:p w:rsidR="00633188" w:rsidRDefault="00633188"/>
            </w:txbxContent>
          </v:textbox>
          <w10:wrap anchorx="page" anchory="page"/>
        </v:line>
      </w:pict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216000</wp:posOffset>
          </wp:positionV>
          <wp:extent cx="1075680" cy="646920"/>
          <wp:effectExtent l="0" t="0" r="0" b="0"/>
          <wp:wrapNone/>
          <wp:docPr id="3" name="Imag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80" cy="646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F74"/>
    <w:multiLevelType w:val="multilevel"/>
    <w:tmpl w:val="F05A523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F533A5"/>
    <w:multiLevelType w:val="multilevel"/>
    <w:tmpl w:val="137E3A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8AD6343"/>
    <w:multiLevelType w:val="multilevel"/>
    <w:tmpl w:val="A5B4843A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">
    <w:nsid w:val="76957FD5"/>
    <w:multiLevelType w:val="multilevel"/>
    <w:tmpl w:val="AA0281F2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3188"/>
    <w:rsid w:val="00633188"/>
    <w:rsid w:val="006E3B6E"/>
    <w:rsid w:val="00EA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="Lucida Sans Unicode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33188"/>
    <w:pPr>
      <w:widowControl/>
      <w:jc w:val="both"/>
    </w:pPr>
    <w:rPr>
      <w:rFonts w:eastAsia="Times New Roman" w:cs="Times New Roman"/>
      <w:sz w:val="20"/>
      <w:lang w:bidi="ar-SA"/>
    </w:rPr>
  </w:style>
  <w:style w:type="paragraph" w:customStyle="1" w:styleId="Heading">
    <w:name w:val="Heading"/>
    <w:basedOn w:val="Standard"/>
    <w:next w:val="Sous-titre"/>
    <w:rsid w:val="0063318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rsid w:val="00633188"/>
    <w:pPr>
      <w:shd w:val="clear" w:color="auto" w:fill="FFFFFF"/>
      <w:jc w:val="center"/>
    </w:pPr>
    <w:rPr>
      <w:caps/>
      <w:sz w:val="22"/>
    </w:rPr>
  </w:style>
  <w:style w:type="paragraph" w:styleId="Liste">
    <w:name w:val="List"/>
    <w:basedOn w:val="Textbody"/>
    <w:rsid w:val="00633188"/>
    <w:rPr>
      <w:rFonts w:cs="Tahoma"/>
    </w:rPr>
  </w:style>
  <w:style w:type="paragraph" w:customStyle="1" w:styleId="Caption">
    <w:name w:val="Caption"/>
    <w:basedOn w:val="Standard"/>
    <w:rsid w:val="0063318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633188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633188"/>
    <w:pPr>
      <w:keepNext/>
      <w:spacing w:after="32"/>
      <w:outlineLvl w:val="0"/>
    </w:pPr>
    <w:rPr>
      <w:rFonts w:ascii="Liberation Serif" w:hAnsi="Liberation Serif"/>
      <w:i/>
      <w:iCs/>
      <w:sz w:val="18"/>
    </w:rPr>
  </w:style>
  <w:style w:type="paragraph" w:customStyle="1" w:styleId="Heading2">
    <w:name w:val="Heading 2"/>
    <w:basedOn w:val="Standard"/>
    <w:next w:val="Standard"/>
    <w:rsid w:val="00633188"/>
    <w:pPr>
      <w:keepNext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633188"/>
    <w:pPr>
      <w:keepNext/>
      <w:outlineLvl w:val="2"/>
    </w:pPr>
    <w:rPr>
      <w:b/>
      <w:bCs/>
    </w:rPr>
  </w:style>
  <w:style w:type="paragraph" w:styleId="Titre">
    <w:name w:val="Title"/>
    <w:basedOn w:val="Standard"/>
    <w:next w:val="Textbody"/>
    <w:rsid w:val="006331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Textbody"/>
    <w:rsid w:val="00633188"/>
    <w:pPr>
      <w:jc w:val="center"/>
    </w:pPr>
    <w:rPr>
      <w:i/>
      <w:iCs/>
    </w:rPr>
  </w:style>
  <w:style w:type="paragraph" w:styleId="NormalWeb">
    <w:name w:val="Normal (Web)"/>
    <w:basedOn w:val="Standard"/>
    <w:rsid w:val="0063318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eader">
    <w:name w:val="Header"/>
    <w:basedOn w:val="Standard"/>
    <w:rsid w:val="0063318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633188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rsid w:val="00633188"/>
    <w:pPr>
      <w:jc w:val="center"/>
    </w:pPr>
    <w:rPr>
      <w:sz w:val="22"/>
    </w:rPr>
  </w:style>
  <w:style w:type="paragraph" w:customStyle="1" w:styleId="m-BlocEmetteur">
    <w:name w:val="m-BlocEmetteur"/>
    <w:basedOn w:val="Standard"/>
    <w:rsid w:val="00633188"/>
    <w:rPr>
      <w:rFonts w:ascii="Liberation Serif" w:hAnsi="Liberation Serif"/>
      <w:i/>
    </w:rPr>
  </w:style>
  <w:style w:type="paragraph" w:customStyle="1" w:styleId="m-BlocEmetteur2">
    <w:name w:val="m-BlocEmetteur2"/>
    <w:basedOn w:val="m-BlocEmetteur"/>
    <w:rsid w:val="00633188"/>
    <w:pPr>
      <w:spacing w:after="91"/>
    </w:pPr>
  </w:style>
  <w:style w:type="paragraph" w:customStyle="1" w:styleId="m-BlocReference">
    <w:name w:val="m-BlocReference"/>
    <w:basedOn w:val="Standard"/>
    <w:rsid w:val="00633188"/>
    <w:rPr>
      <w:rFonts w:eastAsia="Arial Unicode MS"/>
      <w:w w:val="88"/>
      <w:sz w:val="16"/>
    </w:rPr>
  </w:style>
  <w:style w:type="paragraph" w:customStyle="1" w:styleId="m-BlocReference2">
    <w:name w:val="m-BlocReference2"/>
    <w:basedOn w:val="m-BlocReference"/>
    <w:rsid w:val="00633188"/>
    <w:pPr>
      <w:spacing w:after="102"/>
    </w:pPr>
    <w:rPr>
      <w:color w:val="000000"/>
    </w:rPr>
  </w:style>
  <w:style w:type="paragraph" w:customStyle="1" w:styleId="m-listeNumerique">
    <w:name w:val="m-listeNumerique"/>
    <w:basedOn w:val="Standard"/>
    <w:rsid w:val="00633188"/>
  </w:style>
  <w:style w:type="paragraph" w:customStyle="1" w:styleId="m-TextePieceJointe">
    <w:name w:val="m-TextePieceJointe"/>
    <w:basedOn w:val="Standard"/>
    <w:next w:val="m-TextePieceJointe2"/>
    <w:rsid w:val="00633188"/>
    <w:rPr>
      <w:b/>
      <w:w w:val="88"/>
    </w:rPr>
  </w:style>
  <w:style w:type="paragraph" w:customStyle="1" w:styleId="NormalWord">
    <w:name w:val="NormalWord"/>
    <w:rsid w:val="00633188"/>
    <w:pPr>
      <w:widowControl/>
    </w:pPr>
    <w:rPr>
      <w:rFonts w:ascii="Times New Roman" w:eastAsia="Arial" w:hAnsi="Times New Roman" w:cs="Times New Roman"/>
      <w:szCs w:val="20"/>
      <w:lang w:bidi="ar-SA"/>
    </w:rPr>
  </w:style>
  <w:style w:type="paragraph" w:customStyle="1" w:styleId="m-BlocDate">
    <w:name w:val="m-BlocDate"/>
    <w:basedOn w:val="Standard"/>
    <w:rsid w:val="00633188"/>
  </w:style>
  <w:style w:type="paragraph" w:customStyle="1" w:styleId="m-BlocEntete">
    <w:name w:val="m-BlocEntete"/>
    <w:basedOn w:val="Standard"/>
    <w:rsid w:val="00633188"/>
    <w:pPr>
      <w:jc w:val="left"/>
    </w:pPr>
    <w:rPr>
      <w:rFonts w:ascii="Liberation Serif" w:hAnsi="Liberation Serif"/>
      <w:i/>
      <w:iCs/>
    </w:rPr>
  </w:style>
  <w:style w:type="paragraph" w:customStyle="1" w:styleId="m-BlocDestinataire">
    <w:name w:val="m-BlocDestinataire"/>
    <w:basedOn w:val="Standard"/>
    <w:rsid w:val="00633188"/>
  </w:style>
  <w:style w:type="paragraph" w:customStyle="1" w:styleId="m-BlocTitre">
    <w:name w:val="m-BlocTitre"/>
    <w:basedOn w:val="Standard"/>
    <w:rsid w:val="00633188"/>
    <w:pPr>
      <w:ind w:left="-425"/>
      <w:jc w:val="center"/>
    </w:pPr>
    <w:rPr>
      <w:rFonts w:ascii="Liberation Serif" w:hAnsi="Liberation Serif"/>
      <w:color w:val="4C4C4C"/>
      <w:sz w:val="22"/>
    </w:rPr>
  </w:style>
  <w:style w:type="paragraph" w:customStyle="1" w:styleId="m-InterTitre1">
    <w:name w:val="m-InterTitre1"/>
    <w:basedOn w:val="Standard"/>
    <w:next w:val="Standard"/>
    <w:rsid w:val="00633188"/>
    <w:pPr>
      <w:jc w:val="left"/>
    </w:pPr>
    <w:rPr>
      <w:b/>
      <w:sz w:val="24"/>
    </w:rPr>
  </w:style>
  <w:style w:type="paragraph" w:customStyle="1" w:styleId="m-InterTitre2">
    <w:name w:val="m-InterTitre2"/>
    <w:basedOn w:val="Standard"/>
    <w:next w:val="Standard"/>
    <w:rsid w:val="00633188"/>
    <w:pPr>
      <w:jc w:val="left"/>
    </w:pPr>
    <w:rPr>
      <w:i/>
      <w:sz w:val="22"/>
    </w:rPr>
  </w:style>
  <w:style w:type="paragraph" w:customStyle="1" w:styleId="m-BlocSignature">
    <w:name w:val="m-BlocSignature"/>
    <w:basedOn w:val="Standard"/>
    <w:rsid w:val="00633188"/>
    <w:pPr>
      <w:spacing w:after="840"/>
      <w:jc w:val="center"/>
    </w:pPr>
  </w:style>
  <w:style w:type="paragraph" w:customStyle="1" w:styleId="m-listePuce">
    <w:name w:val="m-listePuce"/>
    <w:basedOn w:val="Standard"/>
    <w:rsid w:val="00633188"/>
    <w:pPr>
      <w:ind w:left="300"/>
    </w:pPr>
  </w:style>
  <w:style w:type="paragraph" w:customStyle="1" w:styleId="m-signature">
    <w:name w:val="m-signature"/>
    <w:basedOn w:val="Standard"/>
    <w:rsid w:val="00633188"/>
    <w:pPr>
      <w:keepNext/>
      <w:keepLines/>
      <w:widowControl w:val="0"/>
      <w:spacing w:after="500"/>
      <w:ind w:left="4536"/>
      <w:jc w:val="center"/>
    </w:pPr>
    <w:rPr>
      <w:szCs w:val="20"/>
    </w:rPr>
  </w:style>
  <w:style w:type="paragraph" w:customStyle="1" w:styleId="m-horaires">
    <w:name w:val="m-horaires"/>
    <w:basedOn w:val="Standard"/>
    <w:rsid w:val="00633188"/>
    <w:pPr>
      <w:jc w:val="right"/>
    </w:pPr>
    <w:rPr>
      <w:sz w:val="16"/>
    </w:rPr>
  </w:style>
  <w:style w:type="paragraph" w:customStyle="1" w:styleId="m-adresse">
    <w:name w:val="m-adresse"/>
    <w:basedOn w:val="Standard"/>
    <w:rsid w:val="00633188"/>
    <w:pPr>
      <w:jc w:val="right"/>
    </w:pPr>
    <w:rPr>
      <w:sz w:val="14"/>
    </w:rPr>
  </w:style>
  <w:style w:type="paragraph" w:customStyle="1" w:styleId="m-siteweb">
    <w:name w:val="m-site web"/>
    <w:basedOn w:val="Standard"/>
    <w:rsid w:val="00633188"/>
    <w:rPr>
      <w:i/>
      <w:sz w:val="13"/>
    </w:rPr>
  </w:style>
  <w:style w:type="paragraph" w:customStyle="1" w:styleId="m-TextePieceJointe2">
    <w:name w:val="m-TextePieceJointe2"/>
    <w:basedOn w:val="m-TextePieceJointe"/>
    <w:rsid w:val="00633188"/>
    <w:pPr>
      <w:ind w:left="2302"/>
    </w:pPr>
  </w:style>
  <w:style w:type="paragraph" w:customStyle="1" w:styleId="m-corpstexte">
    <w:name w:val="m-corps texte"/>
    <w:basedOn w:val="Standard"/>
    <w:rsid w:val="00633188"/>
    <w:pPr>
      <w:spacing w:after="261"/>
      <w:ind w:firstLine="709"/>
    </w:pPr>
  </w:style>
  <w:style w:type="paragraph" w:customStyle="1" w:styleId="m-adressePied">
    <w:name w:val="m-adressePied"/>
    <w:basedOn w:val="Standard"/>
    <w:rsid w:val="00633188"/>
    <w:pPr>
      <w:jc w:val="right"/>
    </w:pPr>
    <w:rPr>
      <w:sz w:val="14"/>
    </w:rPr>
  </w:style>
  <w:style w:type="paragraph" w:customStyle="1" w:styleId="TableContents">
    <w:name w:val="Table Contents"/>
    <w:basedOn w:val="Textbody"/>
    <w:rsid w:val="00633188"/>
    <w:pPr>
      <w:suppressLineNumbers/>
    </w:pPr>
  </w:style>
  <w:style w:type="paragraph" w:customStyle="1" w:styleId="Framecontents">
    <w:name w:val="Frame contents"/>
    <w:basedOn w:val="Textbody"/>
    <w:rsid w:val="00633188"/>
  </w:style>
  <w:style w:type="paragraph" w:customStyle="1" w:styleId="TableHeading">
    <w:name w:val="Table Heading"/>
    <w:basedOn w:val="TableContents"/>
    <w:rsid w:val="00633188"/>
    <w:rPr>
      <w:b/>
      <w:bCs/>
    </w:rPr>
  </w:style>
  <w:style w:type="paragraph" w:customStyle="1" w:styleId="m-CopieA">
    <w:name w:val="m-CopieA"/>
    <w:basedOn w:val="Standard"/>
    <w:next w:val="m-CopieA2"/>
    <w:rsid w:val="00633188"/>
    <w:pPr>
      <w:spacing w:line="260" w:lineRule="exact"/>
      <w:jc w:val="left"/>
    </w:pPr>
  </w:style>
  <w:style w:type="paragraph" w:customStyle="1" w:styleId="m-CopieA2">
    <w:name w:val="m-CopieA2"/>
    <w:basedOn w:val="Standard"/>
    <w:rsid w:val="00633188"/>
    <w:pPr>
      <w:spacing w:line="260" w:lineRule="exact"/>
      <w:ind w:left="820"/>
      <w:jc w:val="left"/>
    </w:pPr>
  </w:style>
  <w:style w:type="paragraph" w:customStyle="1" w:styleId="m-Destinataire">
    <w:name w:val="m-Destinataire"/>
    <w:basedOn w:val="m-BlocDestinataire"/>
    <w:rsid w:val="00633188"/>
    <w:pPr>
      <w:jc w:val="left"/>
    </w:pPr>
    <w:rPr>
      <w:b/>
    </w:rPr>
  </w:style>
  <w:style w:type="character" w:customStyle="1" w:styleId="WW8Num2z0">
    <w:name w:val="WW8Num2z0"/>
    <w:rsid w:val="00633188"/>
    <w:rPr>
      <w:rFonts w:ascii="Symbol" w:hAnsi="Symbol"/>
    </w:rPr>
  </w:style>
  <w:style w:type="character" w:customStyle="1" w:styleId="WW8Num2z1">
    <w:name w:val="WW8Num2z1"/>
    <w:rsid w:val="00633188"/>
    <w:rPr>
      <w:rFonts w:ascii="Courier New" w:hAnsi="Courier New"/>
    </w:rPr>
  </w:style>
  <w:style w:type="character" w:customStyle="1" w:styleId="WW8Num2z2">
    <w:name w:val="WW8Num2z2"/>
    <w:rsid w:val="00633188"/>
    <w:rPr>
      <w:rFonts w:ascii="Wingdings" w:hAnsi="Wingdings"/>
    </w:rPr>
  </w:style>
  <w:style w:type="character" w:customStyle="1" w:styleId="WW-Policepardfaut">
    <w:name w:val="WW-Police par défaut"/>
    <w:rsid w:val="00633188"/>
  </w:style>
  <w:style w:type="character" w:customStyle="1" w:styleId="Internetlink">
    <w:name w:val="Internet link"/>
    <w:basedOn w:val="WW-Policepardfaut"/>
    <w:rsid w:val="00633188"/>
    <w:rPr>
      <w:color w:val="0000FF"/>
      <w:u w:val="single"/>
    </w:rPr>
  </w:style>
  <w:style w:type="character" w:customStyle="1" w:styleId="NumberingSymbols">
    <w:name w:val="Numbering Symbols"/>
    <w:rsid w:val="00633188"/>
  </w:style>
  <w:style w:type="character" w:customStyle="1" w:styleId="BulletSymbols">
    <w:name w:val="Bullet Symbols"/>
    <w:rsid w:val="00633188"/>
    <w:rPr>
      <w:rFonts w:ascii="OpenSymbol" w:eastAsia="OpenSymbol" w:hAnsi="OpenSymbol" w:cs="OpenSymbol"/>
    </w:rPr>
  </w:style>
  <w:style w:type="numbering" w:customStyle="1" w:styleId="Numbering1">
    <w:name w:val="Numbering 1"/>
    <w:basedOn w:val="Aucuneliste"/>
    <w:rsid w:val="00633188"/>
    <w:pPr>
      <w:numPr>
        <w:numId w:val="1"/>
      </w:numPr>
    </w:pPr>
  </w:style>
  <w:style w:type="numbering" w:customStyle="1" w:styleId="List1">
    <w:name w:val="List 1"/>
    <w:basedOn w:val="Aucuneliste"/>
    <w:rsid w:val="00633188"/>
    <w:pPr>
      <w:numPr>
        <w:numId w:val="2"/>
      </w:numPr>
    </w:pPr>
  </w:style>
  <w:style w:type="numbering" w:customStyle="1" w:styleId="WW8Num1">
    <w:name w:val="WW8Num1"/>
    <w:basedOn w:val="Aucuneliste"/>
    <w:rsid w:val="00633188"/>
    <w:pPr>
      <w:numPr>
        <w:numId w:val="3"/>
      </w:numPr>
    </w:pPr>
  </w:style>
  <w:style w:type="numbering" w:customStyle="1" w:styleId="WW8Num2">
    <w:name w:val="WW8Num2"/>
    <w:basedOn w:val="Aucuneliste"/>
    <w:rsid w:val="00633188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63318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633188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63318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3318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personnelle compétence préfet région Aquitaine.ott</dc:title>
  <dc:creator>Hugues REVERDY</dc:creator>
  <dc:description>juin  2010 - version 3,1,1</dc:description>
  <cp:lastModifiedBy>Andre Dechene</cp:lastModifiedBy>
  <cp:revision>2</cp:revision>
  <cp:lastPrinted>2013-11-20T15:22:00Z</cp:lastPrinted>
  <dcterms:created xsi:type="dcterms:W3CDTF">2013-11-21T10:24:00Z</dcterms:created>
  <dcterms:modified xsi:type="dcterms:W3CDTF">2013-11-21T10:24:00Z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